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etekstu"/>
        <w:rPr/>
      </w:pPr>
      <w:r>
        <w:rPr/>
      </w:r>
    </w:p>
    <w:p>
      <w:pPr>
        <w:pStyle w:val="Tretekstu"/>
        <w:spacing w:lineRule="auto" w:line="24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Opis przedmiotu zamówienia: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>
        <w:rPr>
          <w:sz w:val="24"/>
          <w:szCs w:val="24"/>
        </w:rPr>
        <w:t xml:space="preserve"> Kod Klasyfikacji Wspólnego Słownika Zamówień (CPV):</w:t>
      </w:r>
    </w:p>
    <w:p>
      <w:pPr>
        <w:pStyle w:val="Tretekstu"/>
        <w:numPr>
          <w:ilvl w:val="0"/>
          <w:numId w:val="2"/>
        </w:num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09.12.30.00-7- gaz ziemny</w:t>
      </w:r>
    </w:p>
    <w:p>
      <w:pPr>
        <w:pStyle w:val="Tretekstu"/>
        <w:numPr>
          <w:ilvl w:val="0"/>
          <w:numId w:val="2"/>
        </w:numPr>
        <w:spacing w:lineRule="auto" w:line="240"/>
        <w:rPr>
          <w:sz w:val="24"/>
          <w:szCs w:val="24"/>
        </w:rPr>
      </w:pPr>
      <w:r>
        <w:rPr>
          <w:sz w:val="24"/>
          <w:szCs w:val="24"/>
        </w:rPr>
        <w:t>65.21.00.00-8- przesył paliwa gazowego</w:t>
      </w:r>
      <w:bookmarkStart w:id="0" w:name="_Hlk19788563"/>
      <w:bookmarkEnd w:id="0"/>
    </w:p>
    <w:p>
      <w:pPr>
        <w:pStyle w:val="Tretekstu"/>
        <w:spacing w:lineRule="auto" w:line="240"/>
        <w:ind w:left="0" w:hanging="0"/>
        <w:jc w:val="left"/>
        <w:rPr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lang w:eastAsia="pl-PL"/>
        </w:rPr>
        <w:t>2.</w:t>
      </w:r>
      <w:r>
        <w:rPr>
          <w:rFonts w:eastAsia="Times New Roman" w:cs="Times New Roman"/>
          <w:sz w:val="24"/>
          <w:szCs w:val="24"/>
          <w:lang w:eastAsia="pl-PL"/>
        </w:rPr>
        <w:t xml:space="preserve"> Przedmiotem zamówienia jest kompleksowa dostawa paliwa gazowego- gazu ziemnego                  wysokometanowego grupy E (zwanego dalej paliwem gazowym) obejmująca sprzedaż </w:t>
        <w:br/>
        <w:t xml:space="preserve">i dystrybucję do jednostek Policji garnizonu dolnośląskiego w szacunkowej ilości 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>48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>5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 xml:space="preserve"> 000 kWh</w:t>
      </w:r>
      <w:r>
        <w:rPr>
          <w:rFonts w:eastAsia="Times New Roman" w:cs="Times New Roman"/>
          <w:sz w:val="24"/>
          <w:szCs w:val="24"/>
          <w:lang w:eastAsia="pl-PL"/>
        </w:rPr>
        <w:t>, wg wykazu punktów poboru.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>
        <w:rPr>
          <w:sz w:val="24"/>
          <w:szCs w:val="24"/>
        </w:rPr>
        <w:t xml:space="preserve"> Punkty poboru:</w:t>
      </w:r>
    </w:p>
    <w:p>
      <w:pPr>
        <w:pStyle w:val="Tretekstu"/>
        <w:numPr>
          <w:ilvl w:val="0"/>
          <w:numId w:val="1"/>
        </w:numPr>
        <w:spacing w:lineRule="auto" w:line="240"/>
        <w:rPr>
          <w:sz w:val="24"/>
          <w:szCs w:val="24"/>
        </w:rPr>
      </w:pPr>
      <w:r>
        <w:rPr>
          <w:rFonts w:eastAsia="Calibri" w:cs="Times New Roman"/>
          <w:sz w:val="24"/>
          <w:szCs w:val="24"/>
          <w:lang w:eastAsia="zh-CN"/>
        </w:rPr>
        <w:t xml:space="preserve">ul. Szymanowskiego 11, 51-609 Wrocław, taryfa BW-5, nr punktu poboru 8018590365500019305009, prognozowane zużycie na </w:t>
      </w:r>
      <w:r>
        <w:rPr>
          <w:rFonts w:eastAsia="Calibri" w:cs="Times New Roman"/>
          <w:b/>
          <w:bCs/>
          <w:sz w:val="24"/>
          <w:szCs w:val="24"/>
          <w:lang w:eastAsia="zh-CN"/>
        </w:rPr>
        <w:t>12 miesięcy 1</w:t>
      </w:r>
      <w:r>
        <w:rPr>
          <w:rFonts w:eastAsia="Calibri" w:cs="Times New Roman"/>
          <w:b/>
          <w:bCs/>
          <w:sz w:val="24"/>
          <w:szCs w:val="24"/>
          <w:lang w:eastAsia="zh-CN"/>
        </w:rPr>
        <w:t>25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 000 kWh</w:t>
      </w:r>
      <w:r>
        <w:rPr>
          <w:rFonts w:eastAsia="Calibri" w:cs="Times New Roman"/>
          <w:sz w:val="24"/>
          <w:szCs w:val="24"/>
          <w:lang w:eastAsia="zh-CN"/>
        </w:rPr>
        <w:t xml:space="preserve">, </w:t>
      </w:r>
    </w:p>
    <w:p>
      <w:pPr>
        <w:pStyle w:val="Tretekstu"/>
        <w:numPr>
          <w:ilvl w:val="0"/>
          <w:numId w:val="1"/>
        </w:numPr>
        <w:spacing w:lineRule="auto" w:line="240"/>
        <w:rPr>
          <w:sz w:val="24"/>
          <w:szCs w:val="24"/>
        </w:rPr>
      </w:pPr>
      <w:r>
        <w:rPr>
          <w:rFonts w:eastAsia="Calibri" w:cs="Times New Roman"/>
          <w:sz w:val="24"/>
          <w:szCs w:val="24"/>
          <w:lang w:eastAsia="zh-CN"/>
        </w:rPr>
        <w:t xml:space="preserve">ul. Wrocławska 24, 55-095 Długołęka,  taryfa BW-3.12T, nr punktu poboru 8018590365500038885179, prognozowane zużycie na 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12  miesięcy </w:t>
      </w:r>
      <w:r>
        <w:rPr>
          <w:rFonts w:eastAsia="Calibri" w:cs="Times New Roman"/>
          <w:b/>
          <w:bCs/>
          <w:sz w:val="24"/>
          <w:szCs w:val="24"/>
          <w:lang w:eastAsia="zh-CN"/>
        </w:rPr>
        <w:t>100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 000 kWh</w:t>
      </w:r>
      <w:r>
        <w:rPr>
          <w:rFonts w:eastAsia="Calibri" w:cs="Times New Roman"/>
          <w:sz w:val="24"/>
          <w:szCs w:val="24"/>
          <w:lang w:eastAsia="zh-CN"/>
        </w:rPr>
        <w:t xml:space="preserve">,  </w:t>
      </w:r>
    </w:p>
    <w:p>
      <w:pPr>
        <w:pStyle w:val="Tretekstu"/>
        <w:numPr>
          <w:ilvl w:val="0"/>
          <w:numId w:val="1"/>
        </w:numPr>
        <w:spacing w:lineRule="auto" w:line="240"/>
        <w:rPr>
          <w:sz w:val="24"/>
          <w:szCs w:val="24"/>
        </w:rPr>
      </w:pPr>
      <w:r>
        <w:rPr>
          <w:rFonts w:eastAsia="Calibri" w:cs="Times New Roman"/>
          <w:sz w:val="24"/>
          <w:szCs w:val="24"/>
          <w:lang w:eastAsia="zh-CN"/>
        </w:rPr>
        <w:t xml:space="preserve">ul. Kościuszki 18, 58-250 Pieszyce,  grupa taryfowa BW-3.12T,  nr punktu poboru 8018590365500035130821,  prognozowane zużycie na 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12 miesięcy </w:t>
      </w:r>
      <w:r>
        <w:rPr>
          <w:rFonts w:eastAsia="Calibri" w:cs="Times New Roman"/>
          <w:b/>
          <w:bCs/>
          <w:sz w:val="24"/>
          <w:szCs w:val="24"/>
          <w:lang w:eastAsia="zh-CN"/>
        </w:rPr>
        <w:t>28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 000 kWh</w:t>
      </w:r>
      <w:r>
        <w:rPr>
          <w:rFonts w:eastAsia="Calibri" w:cs="Times New Roman"/>
          <w:sz w:val="24"/>
          <w:szCs w:val="24"/>
          <w:lang w:eastAsia="zh-CN"/>
        </w:rPr>
        <w:t xml:space="preserve">, </w:t>
      </w:r>
    </w:p>
    <w:p>
      <w:pPr>
        <w:pStyle w:val="Tretekstu"/>
        <w:numPr>
          <w:ilvl w:val="0"/>
          <w:numId w:val="1"/>
        </w:numPr>
        <w:spacing w:lineRule="auto" w:line="240"/>
        <w:rPr>
          <w:sz w:val="24"/>
          <w:szCs w:val="24"/>
        </w:rPr>
      </w:pPr>
      <w:r>
        <w:rPr>
          <w:rFonts w:eastAsia="Calibri" w:cs="Times New Roman"/>
          <w:sz w:val="24"/>
          <w:szCs w:val="24"/>
          <w:lang w:eastAsia="zh-CN"/>
        </w:rPr>
        <w:t xml:space="preserve">ul. Witosa 11, 55-040 Kobierzyce, taryfa BW-3.12T, nr punktu poboru 8018590365500035143517, prognozowane zużycie na 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12 miesięcy </w:t>
      </w:r>
      <w:r>
        <w:rPr>
          <w:rFonts w:eastAsia="Calibri" w:cs="Times New Roman"/>
          <w:b/>
          <w:bCs/>
          <w:sz w:val="24"/>
          <w:szCs w:val="24"/>
          <w:lang w:eastAsia="zh-CN"/>
        </w:rPr>
        <w:t>67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 000 kWh</w:t>
      </w:r>
      <w:r>
        <w:rPr>
          <w:rFonts w:eastAsia="Calibri" w:cs="Times New Roman"/>
          <w:sz w:val="24"/>
          <w:szCs w:val="24"/>
          <w:lang w:eastAsia="zh-CN"/>
        </w:rPr>
        <w:t xml:space="preserve">, </w:t>
      </w:r>
    </w:p>
    <w:p>
      <w:pPr>
        <w:pStyle w:val="Tretekstu"/>
        <w:numPr>
          <w:ilvl w:val="0"/>
          <w:numId w:val="1"/>
        </w:numPr>
        <w:spacing w:lineRule="auto" w:line="240"/>
        <w:rPr>
          <w:sz w:val="24"/>
          <w:szCs w:val="24"/>
        </w:rPr>
      </w:pPr>
      <w:r>
        <w:rPr>
          <w:rFonts w:eastAsia="Calibri" w:cs="Times New Roman"/>
          <w:sz w:val="24"/>
          <w:szCs w:val="24"/>
          <w:lang w:eastAsia="zh-CN"/>
        </w:rPr>
        <w:t xml:space="preserve">ul. Ogrodowa 34, 56-500 Syców, taryfa BW-4, nr punktu poboru 8018590365500029970594, prognozowane zużycie na  </w:t>
      </w:r>
      <w:r>
        <w:rPr>
          <w:rFonts w:eastAsia="Calibri" w:cs="Times New Roman"/>
          <w:b/>
          <w:bCs/>
          <w:sz w:val="24"/>
          <w:szCs w:val="24"/>
          <w:lang w:eastAsia="zh-CN"/>
        </w:rPr>
        <w:t>12 miesięcy 1</w:t>
      </w:r>
      <w:r>
        <w:rPr>
          <w:rFonts w:eastAsia="Calibri" w:cs="Times New Roman"/>
          <w:b/>
          <w:bCs/>
          <w:sz w:val="24"/>
          <w:szCs w:val="24"/>
          <w:lang w:eastAsia="zh-CN"/>
        </w:rPr>
        <w:t>03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 000 kWh,</w:t>
      </w:r>
    </w:p>
    <w:p>
      <w:pPr>
        <w:pStyle w:val="Tretekstu"/>
        <w:numPr>
          <w:ilvl w:val="0"/>
          <w:numId w:val="1"/>
        </w:numPr>
        <w:spacing w:lineRule="auto" w:line="240"/>
        <w:rPr>
          <w:sz w:val="24"/>
          <w:szCs w:val="24"/>
        </w:rPr>
      </w:pPr>
      <w:r>
        <w:rPr>
          <w:rFonts w:eastAsia="Calibri" w:cs="Times New Roman"/>
          <w:sz w:val="24"/>
          <w:szCs w:val="24"/>
          <w:lang w:eastAsia="zh-CN"/>
        </w:rPr>
        <w:t xml:space="preserve">ul. Łódzka 34/7, 50-521 Wrocław, taryfa BW-1.1, nr punktu poboru 8018590365500033504556, prognozowane zużycie na 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12 miesięcy </w:t>
      </w:r>
      <w:r>
        <w:rPr>
          <w:rFonts w:eastAsia="Calibri" w:cs="Times New Roman"/>
          <w:b/>
          <w:bCs/>
          <w:sz w:val="24"/>
          <w:szCs w:val="24"/>
          <w:lang w:eastAsia="zh-CN"/>
        </w:rPr>
        <w:t>1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 000 kWh,</w:t>
      </w:r>
      <w:r>
        <w:rPr>
          <w:rFonts w:eastAsia="Calibri" w:cs="Times New Roman"/>
          <w:sz w:val="24"/>
          <w:szCs w:val="24"/>
          <w:lang w:eastAsia="zh-CN"/>
        </w:rPr>
        <w:t xml:space="preserve"> </w:t>
      </w:r>
    </w:p>
    <w:p>
      <w:pPr>
        <w:pStyle w:val="Tretekstu"/>
        <w:numPr>
          <w:ilvl w:val="0"/>
          <w:numId w:val="1"/>
        </w:numPr>
        <w:spacing w:lineRule="auto" w:line="240"/>
        <w:rPr>
          <w:sz w:val="24"/>
          <w:szCs w:val="24"/>
        </w:rPr>
      </w:pPr>
      <w:r>
        <w:rPr>
          <w:rFonts w:eastAsia="Calibri" w:cs="Times New Roman"/>
          <w:sz w:val="24"/>
          <w:szCs w:val="24"/>
          <w:lang w:eastAsia="zh-CN"/>
        </w:rPr>
        <w:t xml:space="preserve">ul. Władysława Sikorskiego 5, 59-630 Mirsk,  taryfa BW-3.12T, nr punktu poboru 8018590365500039203415, prognozowane zużycie na 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12 miesięcy </w:t>
      </w:r>
      <w:r>
        <w:rPr>
          <w:rFonts w:eastAsia="Calibri" w:cs="Times New Roman"/>
          <w:b/>
          <w:bCs/>
          <w:sz w:val="24"/>
          <w:szCs w:val="24"/>
          <w:lang w:eastAsia="zh-CN"/>
        </w:rPr>
        <w:t>61</w:t>
      </w:r>
      <w:r>
        <w:rPr>
          <w:rFonts w:eastAsia="Calibri" w:cs="Times New Roman"/>
          <w:b/>
          <w:bCs/>
          <w:sz w:val="24"/>
          <w:szCs w:val="24"/>
          <w:lang w:eastAsia="zh-CN"/>
        </w:rPr>
        <w:t xml:space="preserve"> 000 kWh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>
        <w:rPr>
          <w:sz w:val="24"/>
          <w:szCs w:val="24"/>
        </w:rPr>
        <w:t xml:space="preserve"> Łączny prognozowany wolumen: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 okresie 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>12 miesięcy: 48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>5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 xml:space="preserve"> 000 kWh</w:t>
      </w:r>
      <w:r>
        <w:rPr>
          <w:rFonts w:eastAsia="Times New Roman" w:cs="Times New Roman"/>
          <w:sz w:val="24"/>
          <w:szCs w:val="24"/>
          <w:lang w:eastAsia="pl-PL"/>
        </w:rPr>
        <w:t>- dla 7 punktów odbioru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lang w:eastAsia="pl-PL"/>
        </w:rPr>
        <w:t>5.</w:t>
      </w:r>
      <w:r>
        <w:rPr>
          <w:rFonts w:eastAsia="Times New Roman" w:cs="Times New Roman"/>
          <w:sz w:val="24"/>
          <w:szCs w:val="24"/>
          <w:lang w:eastAsia="pl-PL"/>
        </w:rPr>
        <w:t xml:space="preserve"> W celu ustalenia prognozowanego zużycia gazu w kWh przyjęto współczynnik konwersji (11,</w:t>
      </w:r>
      <w:r>
        <w:rPr>
          <w:rFonts w:eastAsia="Times New Roman" w:cs="Times New Roman"/>
          <w:sz w:val="24"/>
          <w:szCs w:val="24"/>
          <w:lang w:eastAsia="pl-PL"/>
        </w:rPr>
        <w:t>5</w:t>
      </w:r>
      <w:r>
        <w:rPr>
          <w:rFonts w:eastAsia="Times New Roman" w:cs="Times New Roman"/>
          <w:sz w:val="24"/>
          <w:szCs w:val="24"/>
          <w:lang w:eastAsia="pl-PL"/>
        </w:rPr>
        <w:t xml:space="preserve">), dla szacowanej ilości </w:t>
      </w:r>
      <w:r>
        <w:rPr>
          <w:rFonts w:eastAsia="Times New Roman" w:cs="Times New Roman"/>
          <w:sz w:val="24"/>
          <w:szCs w:val="24"/>
          <w:lang w:eastAsia="pl-PL"/>
        </w:rPr>
        <w:t>42 174</w:t>
      </w:r>
      <w:r>
        <w:rPr>
          <w:rFonts w:eastAsia="Times New Roman" w:cs="Times New Roman"/>
          <w:sz w:val="24"/>
          <w:szCs w:val="24"/>
          <w:lang w:eastAsia="pl-PL"/>
        </w:rPr>
        <w:t xml:space="preserve"> m</w:t>
      </w:r>
      <w:r>
        <w:rPr>
          <w:rFonts w:eastAsia="Times New Roman" w:cs="Times New Roman"/>
          <w:sz w:val="24"/>
          <w:szCs w:val="24"/>
          <w:vertAlign w:val="superscript"/>
          <w:lang w:eastAsia="pl-PL"/>
        </w:rPr>
        <w:t>3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highlight w:val="magenta"/>
          <w:lang w:eastAsia="pl-PL"/>
        </w:rPr>
        <w:t xml:space="preserve"> 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>
        <w:rPr>
          <w:sz w:val="24"/>
          <w:szCs w:val="24"/>
        </w:rPr>
        <w:t>Prognozowane zużycie paliwa gazowego, o którym mowa w pkt. 2 i 3, ma charakter jedynie orientacyjny- zostało sporządzone na podstawie danych historycznych z poprzednich lat. Prognoza służy do porównania złożonych ofert i w żadnym wypadku nie stanowi ze strony Zamawiającego zobowiązania do zakupu w podanej ilości. Rzeczywista ilość dostarczonego paliwa gazowego wynikać będzie z bieżących wskazań układów pomiarowych, każdego punktu poboru i może ulec zmniejszeniu jak i zwiększeniu w związku z rzeczywistym zużyciem. Wykonawcy nie będzie przysługiwało jakiekolwiek roszczenie w stosunku do Zamawiającego z tytułu nie pobrania przewidywanej ilości paliwa gazowego. Zamawiający dokona zapłaty za faktycznie pobrane ilości.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 xml:space="preserve"> Parametry jakościowe paliw gazowych regulują przepisy ustawy Prawo energetyczne, akty wykonawcze (w szczególności Rozporządzenie Ministra Gospodarki z dnia 2 lipca 2010 r. </w:t>
        <w:br/>
        <w:t xml:space="preserve">w sprawie szczegółowych warunków funkcjonowania systemu gazowego (t.j.: Dz .U. z 2014 r. poz. 1059) oraz Polskie Normy. 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 xml:space="preserve"> Cel wykorzystania paliwa gazowego: paliwo gazowe przeznaczone jest na cele opałowe </w:t>
        <w:br/>
        <w:t>i podlega zwolnieniu z podatku akcyzowego na podstawie art. 31b ust. 2 pkt. 6 ustawy z dnia 6.12.2008 r. o podatku akcyzowym (t.j. Dz. U. z 2017 r. poz. 43 ze zm.)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>
        <w:rPr>
          <w:sz w:val="24"/>
          <w:szCs w:val="24"/>
        </w:rPr>
        <w:t xml:space="preserve"> Rozliczenie zużycia gazu będzie dokonywane w okresie miesięcznym, na podstawie odczytów układu pomiarowego.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>
        <w:rPr>
          <w:sz w:val="24"/>
          <w:szCs w:val="24"/>
        </w:rPr>
        <w:t xml:space="preserve"> Paliwo gazowe będzie dostarczane do punktów odbioru w ramach każdego zadania.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Okresy rozliczeniowe wynikają z Taryfy na świadczenie usług dystrybucji. Zamawiający nie wyraża zgody na otrzymywanie faktur wstępnych na podstawie prognozowanego zużycia paliwa gazowego.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Zamawiający nie dopuszcza składania ofert częściowych.</w:t>
      </w:r>
    </w:p>
    <w:p>
      <w:pPr>
        <w:pStyle w:val="Tretekstu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Tretekstu"/>
        <w:spacing w:lineRule="auto" w:line="276" w:before="0" w:after="140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e36970"/>
    <w:rPr>
      <w:sz w:val="16"/>
      <w:szCs w:val="16"/>
    </w:rPr>
  </w:style>
  <w:style w:type="character" w:styleId="TekstkomentarzaZnak" w:customStyle="1">
    <w:name w:val="Tekst komentarza Znak"/>
    <w:basedOn w:val="DefaultParagraphFont"/>
    <w:qFormat/>
    <w:rsid w:val="00e3697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e36970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Annotationtext">
    <w:name w:val="annotation text"/>
    <w:basedOn w:val="Normal"/>
    <w:link w:val="TekstkomentarzaZnak"/>
    <w:qFormat/>
    <w:rsid w:val="00e36970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3697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Application>LibreOffice/7.4.1.2$Windows_X86_64 LibreOffice_project/3c58a8f3a960df8bc8fd77b461821e42c061c5f0</Application>
  <AppVersion>15.0000</AppVersion>
  <Pages>2</Pages>
  <Words>475</Words>
  <Characters>2921</Characters>
  <CharactersWithSpaces>3400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2019-10-21T10:16:00Z</dcterms:created>
  <dc:creator>MonikaChrząstek-Kalinowska</dc:creator>
  <dc:description/>
  <dc:language>pl-PL</dc:language>
  <cp:lastModifiedBy/>
  <cp:lastPrinted>2020-10-23T08:57:47Z</cp:lastPrinted>
  <dcterms:modified xsi:type="dcterms:W3CDTF">2026-02-24T12:54:06Z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